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A2272" w14:textId="61F1DFF1" w:rsidR="00E122BF" w:rsidRDefault="00E122BF" w:rsidP="00E122BF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</w:pP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TSG-RAN Working Group 4 (Radio) meeting #88bis</w:t>
      </w:r>
      <w:r>
        <w:rPr>
          <w:rFonts w:ascii="Arial" w:eastAsia="Times New Roman" w:hAnsi="Arial" w:cs="Arial"/>
          <w:b/>
          <w:i/>
          <w:noProof/>
          <w:sz w:val="24"/>
          <w:szCs w:val="20"/>
          <w:lang w:val="en-GB" w:eastAsia="ja-JP"/>
        </w:rPr>
        <w:tab/>
      </w:r>
      <w:r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R4-</w:t>
      </w:r>
      <w:r w:rsidR="006526EE">
        <w:rPr>
          <w:rFonts w:ascii="Arial" w:eastAsia="Times New Roman" w:hAnsi="Arial" w:cs="Arial"/>
          <w:b/>
          <w:iCs/>
          <w:noProof/>
          <w:sz w:val="24"/>
          <w:szCs w:val="20"/>
          <w:lang w:val="en-GB" w:eastAsia="ja-JP"/>
        </w:rPr>
        <w:t>1813547</w:t>
      </w:r>
      <w:bookmarkStart w:id="0" w:name="_GoBack"/>
      <w:bookmarkEnd w:id="0"/>
    </w:p>
    <w:p w14:paraId="31E82656" w14:textId="77777777" w:rsidR="00E122BF" w:rsidRDefault="00E122BF" w:rsidP="00E122BF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</w:pP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>Chengdu, China, 8</w:t>
      </w:r>
      <w:r>
        <w:rPr>
          <w:rFonts w:ascii="Arial" w:eastAsia="Times New Roman" w:hAnsi="Arial" w:cs="Arial"/>
          <w:b/>
          <w:noProof/>
          <w:sz w:val="24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 – 12</w:t>
      </w:r>
      <w:r>
        <w:rPr>
          <w:rFonts w:ascii="Arial" w:eastAsia="Times New Roman" w:hAnsi="Arial" w:cs="Arial"/>
          <w:b/>
          <w:noProof/>
          <w:sz w:val="24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noProof/>
          <w:sz w:val="24"/>
          <w:szCs w:val="20"/>
          <w:lang w:val="en-GB" w:eastAsia="ja-JP"/>
        </w:rPr>
        <w:t xml:space="preserve"> October 2018</w:t>
      </w:r>
    </w:p>
    <w:p w14:paraId="3213908D" w14:textId="77777777" w:rsidR="00E122BF" w:rsidRDefault="00E122BF" w:rsidP="00E122BF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39D4CDC" w14:textId="77777777" w:rsidR="00E122BF" w:rsidRDefault="00E122BF" w:rsidP="00E122BF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349A7362" w14:textId="4C6E6084" w:rsidR="00E122BF" w:rsidRDefault="00E122BF" w:rsidP="00E122BF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122BF">
        <w:rPr>
          <w:rFonts w:ascii="Arial" w:eastAsia="Times New Roman" w:hAnsi="Arial" w:cs="Arial"/>
          <w:sz w:val="20"/>
          <w:szCs w:val="20"/>
          <w:lang w:val="en-GB"/>
        </w:rPr>
        <w:t>Conditions to apply antenna directivity when calculate TRP</w:t>
      </w:r>
    </w:p>
    <w:p w14:paraId="244939D0" w14:textId="77777777" w:rsidR="00E122BF" w:rsidRDefault="00E122BF" w:rsidP="00E122BF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Agenda item: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6.1.3.4</w:t>
      </w:r>
    </w:p>
    <w:p w14:paraId="283BB7C8" w14:textId="77777777" w:rsidR="00E122BF" w:rsidRDefault="00E122BF" w:rsidP="00E122BF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6F01F730" w14:textId="03E0C9E0" w:rsidR="00A23216" w:rsidRDefault="00A23216">
      <w:pPr>
        <w:rPr>
          <w:lang w:val="en-GB"/>
        </w:rPr>
      </w:pPr>
    </w:p>
    <w:p w14:paraId="4FD1A38C" w14:textId="77777777" w:rsidR="00E122BF" w:rsidRDefault="00E122BF" w:rsidP="00E122BF">
      <w:pPr>
        <w:pBdr>
          <w:bottom w:val="single" w:sz="4" w:space="1" w:color="auto"/>
        </w:pBdr>
        <w:spacing w:after="18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87C1A76" w14:textId="77777777" w:rsidR="00E122BF" w:rsidRDefault="00E122BF" w:rsidP="00E122BF">
      <w:pPr>
        <w:keepNext/>
        <w:numPr>
          <w:ilvl w:val="0"/>
          <w:numId w:val="1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Introduction</w:t>
      </w:r>
    </w:p>
    <w:p w14:paraId="5B9D4759" w14:textId="77777777" w:rsidR="0058001B" w:rsidRDefault="00E122BF" w:rsidP="00E122BF">
      <w:pPr>
        <w:pBdr>
          <w:bottom w:val="single" w:sz="4" w:space="1" w:color="auto"/>
        </w:pBdr>
        <w:spacing w:after="180" w:line="240" w:lineRule="auto"/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t xml:space="preserve">For in-band and adjacent frequency bands, e.g. Out-of-band (OOB) emissions and TRP values for ACLR it is suggested that a measured peak EIRP value divided by a </w:t>
      </w:r>
      <w:r w:rsidR="0058001B">
        <w:rPr>
          <w:rFonts w:asciiTheme="majorBidi" w:hAnsiTheme="majorBidi" w:cstheme="majorBidi"/>
          <w:sz w:val="20"/>
          <w:szCs w:val="20"/>
        </w:rPr>
        <w:t>declared/calculated</w:t>
      </w:r>
      <w:r w:rsidRPr="00E122BF">
        <w:rPr>
          <w:rFonts w:asciiTheme="majorBidi" w:hAnsiTheme="majorBidi" w:cstheme="majorBidi"/>
          <w:sz w:val="20"/>
          <w:szCs w:val="20"/>
        </w:rPr>
        <w:t xml:space="preserve"> directivity value can be used to assess the TRP. </w:t>
      </w:r>
      <w:r w:rsidR="0058001B">
        <w:rPr>
          <w:rFonts w:asciiTheme="majorBidi" w:hAnsiTheme="majorBidi" w:cstheme="majorBidi"/>
          <w:sz w:val="20"/>
          <w:szCs w:val="20"/>
        </w:rPr>
        <w:t xml:space="preserve">For example, in case of antenna arrays, a popular way to estimate directivity is given by 10lgN, where N is the number of antenna elements. </w:t>
      </w:r>
    </w:p>
    <w:p w14:paraId="59995FE0" w14:textId="68C4A93C" w:rsidR="00E122BF" w:rsidRDefault="0058001B" w:rsidP="00E122BF">
      <w:pPr>
        <w:pBdr>
          <w:bottom w:val="single" w:sz="4" w:space="1" w:color="auto"/>
        </w:pBdr>
        <w:spacing w:after="18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To be able to utilize this methodology we need to understand</w:t>
      </w:r>
      <w:r w:rsidR="00E122BF" w:rsidRPr="00E122BF">
        <w:rPr>
          <w:rFonts w:asciiTheme="majorBidi" w:hAnsiTheme="majorBidi" w:cstheme="majorBidi"/>
          <w:sz w:val="20"/>
          <w:szCs w:val="20"/>
        </w:rPr>
        <w:t xml:space="preserve"> what </w:t>
      </w:r>
      <w:r w:rsidRPr="00E122BF">
        <w:rPr>
          <w:rFonts w:asciiTheme="majorBidi" w:hAnsiTheme="majorBidi" w:cstheme="majorBidi"/>
          <w:sz w:val="20"/>
          <w:szCs w:val="20"/>
        </w:rPr>
        <w:t>the uncertainty of the assumed directivity value is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21358139" w14:textId="77777777" w:rsidR="00E122BF" w:rsidRPr="00144919" w:rsidRDefault="00E122BF" w:rsidP="00E122BF">
      <w:pPr>
        <w:pBdr>
          <w:bottom w:val="single" w:sz="4" w:space="1" w:color="auto"/>
        </w:pBdr>
        <w:spacing w:after="180" w:line="240" w:lineRule="auto"/>
        <w:rPr>
          <w:rFonts w:ascii="Arial" w:eastAsia="Times New Roman" w:hAnsi="Arial" w:cs="Arial"/>
          <w:sz w:val="20"/>
          <w:szCs w:val="20"/>
        </w:rPr>
      </w:pPr>
    </w:p>
    <w:p w14:paraId="6C00060A" w14:textId="77777777" w:rsidR="00E122BF" w:rsidRDefault="00E122BF" w:rsidP="00E122BF">
      <w:pPr>
        <w:keepNext/>
        <w:numPr>
          <w:ilvl w:val="0"/>
          <w:numId w:val="1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Discussion</w:t>
      </w:r>
    </w:p>
    <w:p w14:paraId="1522021E" w14:textId="5FFFA638" w:rsidR="004523A2" w:rsidRPr="00E122BF" w:rsidRDefault="00C478BC">
      <w:pPr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t xml:space="preserve">Measurement in a single point is </w:t>
      </w:r>
      <w:r w:rsidR="00796140" w:rsidRPr="00E122BF">
        <w:rPr>
          <w:rFonts w:asciiTheme="majorBidi" w:hAnsiTheme="majorBidi" w:cstheme="majorBidi"/>
          <w:sz w:val="20"/>
          <w:szCs w:val="20"/>
        </w:rPr>
        <w:t>clearly</w:t>
      </w:r>
      <w:r w:rsidR="00E20F8B" w:rsidRPr="00E122BF">
        <w:rPr>
          <w:rFonts w:asciiTheme="majorBidi" w:hAnsiTheme="majorBidi" w:cstheme="majorBidi"/>
          <w:sz w:val="20"/>
          <w:szCs w:val="20"/>
        </w:rPr>
        <w:t xml:space="preserve"> </w:t>
      </w:r>
      <w:r w:rsidR="00940259" w:rsidRPr="00E122BF">
        <w:rPr>
          <w:rFonts w:asciiTheme="majorBidi" w:hAnsiTheme="majorBidi" w:cstheme="majorBidi"/>
          <w:sz w:val="20"/>
          <w:szCs w:val="20"/>
        </w:rPr>
        <w:t xml:space="preserve">not sufficient </w:t>
      </w:r>
      <w:r w:rsidR="00796140" w:rsidRPr="00E122BF">
        <w:rPr>
          <w:rFonts w:asciiTheme="majorBidi" w:hAnsiTheme="majorBidi" w:cstheme="majorBidi"/>
          <w:sz w:val="20"/>
          <w:szCs w:val="20"/>
        </w:rPr>
        <w:t xml:space="preserve">to judge whether a </w:t>
      </w:r>
      <w:r w:rsidR="0058001B">
        <w:rPr>
          <w:rFonts w:asciiTheme="majorBidi" w:hAnsiTheme="majorBidi" w:cstheme="majorBidi"/>
          <w:sz w:val="20"/>
          <w:szCs w:val="20"/>
        </w:rPr>
        <w:t>declared or calculated directivity value</w:t>
      </w:r>
      <w:r w:rsidR="00796140" w:rsidRPr="00E122BF">
        <w:rPr>
          <w:rFonts w:asciiTheme="majorBidi" w:hAnsiTheme="majorBidi" w:cstheme="majorBidi"/>
          <w:sz w:val="20"/>
          <w:szCs w:val="20"/>
        </w:rPr>
        <w:t xml:space="preserve"> </w:t>
      </w:r>
      <w:r w:rsidR="0058001B" w:rsidRPr="00E122BF">
        <w:rPr>
          <w:rFonts w:asciiTheme="majorBidi" w:hAnsiTheme="majorBidi" w:cstheme="majorBidi"/>
          <w:sz w:val="20"/>
          <w:szCs w:val="20"/>
        </w:rPr>
        <w:t>agrees</w:t>
      </w:r>
      <w:r w:rsidR="00796140" w:rsidRPr="00E122BF">
        <w:rPr>
          <w:rFonts w:asciiTheme="majorBidi" w:hAnsiTheme="majorBidi" w:cstheme="majorBidi"/>
          <w:sz w:val="20"/>
          <w:szCs w:val="20"/>
        </w:rPr>
        <w:t xml:space="preserve"> </w:t>
      </w:r>
      <w:r w:rsidR="00763498" w:rsidRPr="00E122BF">
        <w:rPr>
          <w:rFonts w:asciiTheme="majorBidi" w:hAnsiTheme="majorBidi" w:cstheme="majorBidi"/>
          <w:sz w:val="20"/>
          <w:szCs w:val="20"/>
        </w:rPr>
        <w:t>with reality</w:t>
      </w:r>
      <w:r w:rsidR="00E20F8B" w:rsidRPr="00E122BF">
        <w:rPr>
          <w:rFonts w:asciiTheme="majorBidi" w:hAnsiTheme="majorBidi" w:cstheme="majorBidi"/>
          <w:sz w:val="20"/>
          <w:szCs w:val="20"/>
        </w:rPr>
        <w:t xml:space="preserve">. </w:t>
      </w:r>
    </w:p>
    <w:p w14:paraId="54ABB713" w14:textId="1EC9E4F6" w:rsidR="00566FB4" w:rsidRPr="00E122BF" w:rsidRDefault="00A01474">
      <w:pPr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t xml:space="preserve">In adjacent channels the </w:t>
      </w:r>
      <w:r w:rsidR="00FE2ED7" w:rsidRPr="00E122BF">
        <w:rPr>
          <w:rFonts w:asciiTheme="majorBidi" w:hAnsiTheme="majorBidi" w:cstheme="majorBidi"/>
          <w:sz w:val="20"/>
          <w:szCs w:val="20"/>
        </w:rPr>
        <w:t>radiation can be highly correlated, resulting in a directivity close to the in</w:t>
      </w:r>
      <w:r w:rsidR="00735F47" w:rsidRPr="00E122BF">
        <w:rPr>
          <w:rFonts w:asciiTheme="majorBidi" w:hAnsiTheme="majorBidi" w:cstheme="majorBidi"/>
          <w:sz w:val="20"/>
          <w:szCs w:val="20"/>
        </w:rPr>
        <w:t>-</w:t>
      </w:r>
      <w:r w:rsidR="00FE2ED7" w:rsidRPr="00E122BF">
        <w:rPr>
          <w:rFonts w:asciiTheme="majorBidi" w:hAnsiTheme="majorBidi" w:cstheme="majorBidi"/>
          <w:sz w:val="20"/>
          <w:szCs w:val="20"/>
        </w:rPr>
        <w:t xml:space="preserve">band value. </w:t>
      </w:r>
      <w:r w:rsidR="0058001B">
        <w:rPr>
          <w:rFonts w:asciiTheme="majorBidi" w:hAnsiTheme="majorBidi" w:cstheme="majorBidi"/>
          <w:sz w:val="20"/>
          <w:szCs w:val="20"/>
        </w:rPr>
        <w:t xml:space="preserve">However, </w:t>
      </w:r>
      <w:r w:rsidR="00FE2ED7" w:rsidRPr="00E122BF">
        <w:rPr>
          <w:rFonts w:asciiTheme="majorBidi" w:hAnsiTheme="majorBidi" w:cstheme="majorBidi"/>
          <w:sz w:val="20"/>
          <w:szCs w:val="20"/>
        </w:rPr>
        <w:t xml:space="preserve">it can also be totally un-correlated by </w:t>
      </w:r>
      <w:r w:rsidR="00E935ED" w:rsidRPr="00E122BF">
        <w:rPr>
          <w:rFonts w:asciiTheme="majorBidi" w:hAnsiTheme="majorBidi" w:cstheme="majorBidi"/>
          <w:sz w:val="20"/>
          <w:szCs w:val="20"/>
        </w:rPr>
        <w:t>coincidence or by design</w:t>
      </w:r>
      <w:r w:rsidR="0058001B">
        <w:rPr>
          <w:rFonts w:asciiTheme="majorBidi" w:hAnsiTheme="majorBidi" w:cstheme="majorBidi"/>
          <w:sz w:val="20"/>
          <w:szCs w:val="20"/>
        </w:rPr>
        <w:t>, case when</w:t>
      </w:r>
      <w:r w:rsidR="00E96487" w:rsidRPr="00E122BF">
        <w:rPr>
          <w:rFonts w:asciiTheme="majorBidi" w:hAnsiTheme="majorBidi" w:cstheme="majorBidi"/>
          <w:sz w:val="20"/>
          <w:szCs w:val="20"/>
        </w:rPr>
        <w:t xml:space="preserve"> the directivity will be </w:t>
      </w:r>
      <w:r w:rsidR="00776A49" w:rsidRPr="00E122BF">
        <w:rPr>
          <w:rFonts w:asciiTheme="majorBidi" w:hAnsiTheme="majorBidi" w:cstheme="majorBidi"/>
          <w:sz w:val="20"/>
          <w:szCs w:val="20"/>
        </w:rPr>
        <w:t>smaller than in the case of fu</w:t>
      </w:r>
      <w:r w:rsidR="00625380" w:rsidRPr="00E122BF">
        <w:rPr>
          <w:rFonts w:asciiTheme="majorBidi" w:hAnsiTheme="majorBidi" w:cstheme="majorBidi"/>
          <w:sz w:val="20"/>
          <w:szCs w:val="20"/>
        </w:rPr>
        <w:t>l</w:t>
      </w:r>
      <w:r w:rsidR="00776A49" w:rsidRPr="00E122BF">
        <w:rPr>
          <w:rFonts w:asciiTheme="majorBidi" w:hAnsiTheme="majorBidi" w:cstheme="majorBidi"/>
          <w:sz w:val="20"/>
          <w:szCs w:val="20"/>
        </w:rPr>
        <w:t>l correlation</w:t>
      </w:r>
      <w:r w:rsidR="0058001B">
        <w:rPr>
          <w:rFonts w:asciiTheme="majorBidi" w:hAnsiTheme="majorBidi" w:cstheme="majorBidi"/>
          <w:sz w:val="20"/>
          <w:szCs w:val="20"/>
        </w:rPr>
        <w:t>,</w:t>
      </w:r>
      <w:r w:rsidR="00761798" w:rsidRPr="00E122BF">
        <w:rPr>
          <w:rFonts w:asciiTheme="majorBidi" w:hAnsiTheme="majorBidi" w:cstheme="majorBidi"/>
          <w:sz w:val="20"/>
          <w:szCs w:val="20"/>
        </w:rPr>
        <w:t xml:space="preserve"> which leads to</w:t>
      </w:r>
      <w:r w:rsidR="00776A49" w:rsidRPr="00E122BF">
        <w:rPr>
          <w:rFonts w:asciiTheme="majorBidi" w:hAnsiTheme="majorBidi" w:cstheme="majorBidi"/>
          <w:sz w:val="20"/>
          <w:szCs w:val="20"/>
        </w:rPr>
        <w:t xml:space="preserve"> a risk of </w:t>
      </w:r>
      <w:r w:rsidR="00697D4F" w:rsidRPr="00E122BF">
        <w:rPr>
          <w:rFonts w:asciiTheme="majorBidi" w:hAnsiTheme="majorBidi" w:cstheme="majorBidi"/>
          <w:sz w:val="20"/>
          <w:szCs w:val="20"/>
        </w:rPr>
        <w:t>under-estimating the TRP by a large margin.</w:t>
      </w:r>
    </w:p>
    <w:p w14:paraId="1042C97F" w14:textId="19D9406D" w:rsidR="008D7A79" w:rsidRPr="0058001B" w:rsidRDefault="0058001B" w:rsidP="0058001B">
      <w:pPr>
        <w:pStyle w:val="Heading2"/>
        <w:rPr>
          <w:color w:val="auto"/>
        </w:rPr>
      </w:pPr>
      <w:r w:rsidRPr="0058001B">
        <w:rPr>
          <w:color w:val="auto"/>
        </w:rPr>
        <w:t xml:space="preserve">2.1 </w:t>
      </w:r>
      <w:r w:rsidR="00A4015C" w:rsidRPr="0058001B">
        <w:rPr>
          <w:color w:val="auto"/>
        </w:rPr>
        <w:t>Antenna pattern metrics</w:t>
      </w:r>
    </w:p>
    <w:p w14:paraId="3983A448" w14:textId="0DA9CDF2" w:rsidR="003073D6" w:rsidRPr="00E122BF" w:rsidRDefault="006443F5" w:rsidP="003073D6">
      <w:pPr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t xml:space="preserve">The antenna pattern </w:t>
      </w:r>
      <w:r w:rsidR="0058001B">
        <w:rPr>
          <w:rFonts w:asciiTheme="majorBidi" w:hAnsiTheme="majorBidi" w:cstheme="majorBidi"/>
          <w:sz w:val="20"/>
          <w:szCs w:val="20"/>
        </w:rPr>
        <w:t>can be simulated</w:t>
      </w:r>
      <w:r w:rsidR="0074646C">
        <w:rPr>
          <w:rFonts w:asciiTheme="majorBidi" w:hAnsiTheme="majorBidi" w:cstheme="majorBidi"/>
          <w:sz w:val="20"/>
          <w:szCs w:val="20"/>
        </w:rPr>
        <w:t xml:space="preserve"> if enough information is available. The accuracy of the result</w:t>
      </w:r>
      <w:r w:rsidRPr="00E122BF">
        <w:rPr>
          <w:rFonts w:asciiTheme="majorBidi" w:hAnsiTheme="majorBidi" w:cstheme="majorBidi"/>
          <w:sz w:val="20"/>
          <w:szCs w:val="20"/>
        </w:rPr>
        <w:t xml:space="preserve"> can be tested by measurements </w:t>
      </w:r>
      <w:r w:rsidR="0074646C">
        <w:rPr>
          <w:rFonts w:asciiTheme="majorBidi" w:hAnsiTheme="majorBidi" w:cstheme="majorBidi"/>
          <w:sz w:val="20"/>
          <w:szCs w:val="20"/>
        </w:rPr>
        <w:t xml:space="preserve">of certain parameters </w:t>
      </w:r>
      <w:r w:rsidRPr="00E122BF">
        <w:rPr>
          <w:rFonts w:asciiTheme="majorBidi" w:hAnsiTheme="majorBidi" w:cstheme="majorBidi"/>
          <w:sz w:val="20"/>
          <w:szCs w:val="20"/>
        </w:rPr>
        <w:t xml:space="preserve">in certain </w:t>
      </w:r>
      <w:r w:rsidR="002E405B" w:rsidRPr="00E122BF">
        <w:rPr>
          <w:rFonts w:asciiTheme="majorBidi" w:hAnsiTheme="majorBidi" w:cstheme="majorBidi"/>
          <w:sz w:val="20"/>
          <w:szCs w:val="20"/>
        </w:rPr>
        <w:t xml:space="preserve">angular directions. Since the EIRP peak value </w:t>
      </w:r>
      <w:r w:rsidR="009635E8" w:rsidRPr="00E122BF">
        <w:rPr>
          <w:rFonts w:asciiTheme="majorBidi" w:hAnsiTheme="majorBidi" w:cstheme="majorBidi"/>
          <w:sz w:val="20"/>
          <w:szCs w:val="20"/>
        </w:rPr>
        <w:t>will be measured there is no need to check absolute values.</w:t>
      </w:r>
      <w:r w:rsidR="004C4F58" w:rsidRPr="00E122BF">
        <w:rPr>
          <w:rFonts w:asciiTheme="majorBidi" w:hAnsiTheme="majorBidi" w:cstheme="majorBidi"/>
          <w:sz w:val="20"/>
          <w:szCs w:val="20"/>
        </w:rPr>
        <w:t xml:space="preserve"> Only relative </w:t>
      </w:r>
      <w:r w:rsidR="00613A5D" w:rsidRPr="00E122BF">
        <w:rPr>
          <w:rFonts w:asciiTheme="majorBidi" w:hAnsiTheme="majorBidi" w:cstheme="majorBidi"/>
          <w:sz w:val="20"/>
          <w:szCs w:val="20"/>
        </w:rPr>
        <w:t xml:space="preserve">parameters are </w:t>
      </w:r>
      <w:r w:rsidR="003D1F20" w:rsidRPr="00E122BF">
        <w:rPr>
          <w:rFonts w:asciiTheme="majorBidi" w:hAnsiTheme="majorBidi" w:cstheme="majorBidi"/>
          <w:sz w:val="20"/>
          <w:szCs w:val="20"/>
        </w:rPr>
        <w:t>needed</w:t>
      </w:r>
      <w:r w:rsidR="00613A5D" w:rsidRPr="00E122BF">
        <w:rPr>
          <w:rFonts w:asciiTheme="majorBidi" w:hAnsiTheme="majorBidi" w:cstheme="majorBidi"/>
          <w:sz w:val="20"/>
          <w:szCs w:val="20"/>
        </w:rPr>
        <w:t>.</w:t>
      </w:r>
    </w:p>
    <w:tbl>
      <w:tblPr>
        <w:tblStyle w:val="TableGrid"/>
        <w:tblW w:w="8647" w:type="dxa"/>
        <w:tblInd w:w="1271" w:type="dxa"/>
        <w:tblLook w:val="04A0" w:firstRow="1" w:lastRow="0" w:firstColumn="1" w:lastColumn="0" w:noHBand="0" w:noVBand="1"/>
      </w:tblPr>
      <w:tblGrid>
        <w:gridCol w:w="4255"/>
        <w:gridCol w:w="4392"/>
      </w:tblGrid>
      <w:tr w:rsidR="00F0732B" w:rsidRPr="00E122BF" w14:paraId="2E38CDCD" w14:textId="3414F4A2" w:rsidTr="0058001B">
        <w:tc>
          <w:tcPr>
            <w:tcW w:w="4255" w:type="dxa"/>
          </w:tcPr>
          <w:p w14:paraId="3E4EBE87" w14:textId="4360E772" w:rsidR="00F0732B" w:rsidRPr="00E122BF" w:rsidRDefault="00F0732B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>Parameter</w:t>
            </w:r>
          </w:p>
        </w:tc>
        <w:tc>
          <w:tcPr>
            <w:tcW w:w="4392" w:type="dxa"/>
          </w:tcPr>
          <w:p w14:paraId="6DF013E9" w14:textId="6A5F9593" w:rsidR="00D73D34" w:rsidRPr="00E122BF" w:rsidRDefault="00D73D34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>Definition</w:t>
            </w:r>
          </w:p>
        </w:tc>
      </w:tr>
      <w:tr w:rsidR="00F0732B" w:rsidRPr="00E122BF" w14:paraId="7F435BC7" w14:textId="5CCD010C" w:rsidTr="0058001B">
        <w:tc>
          <w:tcPr>
            <w:tcW w:w="4255" w:type="dxa"/>
          </w:tcPr>
          <w:p w14:paraId="543C0A90" w14:textId="1B85B1AE" w:rsidR="00F0732B" w:rsidRPr="00E122BF" w:rsidRDefault="00F0732B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Horizontal Half Power </w:t>
            </w:r>
            <w:proofErr w:type="spellStart"/>
            <w:r w:rsidR="00D73D34" w:rsidRPr="00E122BF">
              <w:rPr>
                <w:rFonts w:asciiTheme="majorBidi" w:hAnsiTheme="majorBidi" w:cstheme="majorBidi"/>
                <w:sz w:val="20"/>
                <w:szCs w:val="20"/>
              </w:rPr>
              <w:t>Beamwidth</w:t>
            </w:r>
            <w:proofErr w:type="spellEnd"/>
            <w:r w:rsidR="00315135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(H-HPBW)</w:t>
            </w:r>
            <w:r w:rsidR="00DB4DF1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72CF4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Beam Width </w:t>
            </w:r>
            <w:r w:rsidRPr="00E122BF">
              <w:rPr>
                <w:rFonts w:asciiTheme="majorBidi" w:hAnsiTheme="majorBidi" w:cstheme="majorBidi"/>
                <w:sz w:val="20"/>
                <w:szCs w:val="20"/>
              </w:rPr>
              <w:t>points</w:t>
            </w:r>
          </w:p>
        </w:tc>
        <w:tc>
          <w:tcPr>
            <w:tcW w:w="4392" w:type="dxa"/>
          </w:tcPr>
          <w:p w14:paraId="1E6E0F08" w14:textId="13E9984F" w:rsidR="00D73D34" w:rsidRPr="00E122BF" w:rsidRDefault="00D73D34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>Difference in theta angle between -3 dB points</w:t>
            </w:r>
          </w:p>
        </w:tc>
      </w:tr>
      <w:tr w:rsidR="00F0732B" w:rsidRPr="00E122BF" w14:paraId="1DA850BF" w14:textId="784661FD" w:rsidTr="0058001B">
        <w:tc>
          <w:tcPr>
            <w:tcW w:w="4255" w:type="dxa"/>
          </w:tcPr>
          <w:p w14:paraId="5624D222" w14:textId="72FE31BB" w:rsidR="00F0732B" w:rsidRPr="00E122BF" w:rsidRDefault="00F0732B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Vertical Half Power </w:t>
            </w:r>
            <w:proofErr w:type="spellStart"/>
            <w:r w:rsidR="00315135" w:rsidRPr="00E122BF">
              <w:rPr>
                <w:rFonts w:asciiTheme="majorBidi" w:hAnsiTheme="majorBidi" w:cstheme="majorBidi"/>
                <w:sz w:val="20"/>
                <w:szCs w:val="20"/>
              </w:rPr>
              <w:t>Beamwidth</w:t>
            </w:r>
            <w:proofErr w:type="spellEnd"/>
            <w:r w:rsidR="00315135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(V-HPBW)</w:t>
            </w:r>
            <w:r w:rsidR="00DB4DF1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72CF4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Beam Width </w:t>
            </w:r>
            <w:r w:rsidRPr="00E122BF">
              <w:rPr>
                <w:rFonts w:asciiTheme="majorBidi" w:hAnsiTheme="majorBidi" w:cstheme="majorBidi"/>
                <w:sz w:val="20"/>
                <w:szCs w:val="20"/>
              </w:rPr>
              <w:t>points</w:t>
            </w:r>
          </w:p>
        </w:tc>
        <w:tc>
          <w:tcPr>
            <w:tcW w:w="4392" w:type="dxa"/>
          </w:tcPr>
          <w:p w14:paraId="5D9E5178" w14:textId="1815865C" w:rsidR="00315135" w:rsidRPr="00E122BF" w:rsidRDefault="00315135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>Difference in phi angle between -3 dB points</w:t>
            </w:r>
          </w:p>
        </w:tc>
      </w:tr>
      <w:tr w:rsidR="00F0732B" w:rsidRPr="00E122BF" w14:paraId="49CA167F" w14:textId="3898F6E9" w:rsidTr="0058001B">
        <w:tc>
          <w:tcPr>
            <w:tcW w:w="4255" w:type="dxa"/>
          </w:tcPr>
          <w:p w14:paraId="5D2E754B" w14:textId="1CC6C4C1" w:rsidR="00F0732B" w:rsidRPr="00E122BF" w:rsidRDefault="00F0732B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Horizontal First </w:t>
            </w:r>
            <w:r w:rsidR="00D15AB2" w:rsidRPr="00E122BF">
              <w:rPr>
                <w:rFonts w:asciiTheme="majorBidi" w:hAnsiTheme="majorBidi" w:cstheme="majorBidi"/>
                <w:sz w:val="20"/>
                <w:szCs w:val="20"/>
              </w:rPr>
              <w:t>null beam width (H-FNBW)</w:t>
            </w:r>
            <w:r w:rsidR="00DB4DF1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122BF">
              <w:rPr>
                <w:rFonts w:asciiTheme="majorBidi" w:hAnsiTheme="majorBidi" w:cstheme="majorBidi"/>
                <w:sz w:val="20"/>
                <w:szCs w:val="20"/>
              </w:rPr>
              <w:t>nulls</w:t>
            </w:r>
          </w:p>
        </w:tc>
        <w:tc>
          <w:tcPr>
            <w:tcW w:w="4392" w:type="dxa"/>
          </w:tcPr>
          <w:p w14:paraId="5A56AA24" w14:textId="7B67B92D" w:rsidR="00D15AB2" w:rsidRPr="00E122BF" w:rsidRDefault="00D15AB2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Difference between </w:t>
            </w:r>
            <w:r w:rsidR="0079440E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phi angles of the </w:t>
            </w:r>
            <w:r w:rsidRPr="00E122BF">
              <w:rPr>
                <w:rFonts w:asciiTheme="majorBidi" w:hAnsiTheme="majorBidi" w:cstheme="majorBidi"/>
                <w:sz w:val="20"/>
                <w:szCs w:val="20"/>
              </w:rPr>
              <w:t>first nulls</w:t>
            </w:r>
          </w:p>
        </w:tc>
      </w:tr>
      <w:tr w:rsidR="00F0732B" w:rsidRPr="00E122BF" w14:paraId="13621297" w14:textId="00BDB0B6" w:rsidTr="0058001B">
        <w:tc>
          <w:tcPr>
            <w:tcW w:w="4255" w:type="dxa"/>
          </w:tcPr>
          <w:p w14:paraId="68CDE3CB" w14:textId="1076D04C" w:rsidR="00F0732B" w:rsidRPr="00E122BF" w:rsidRDefault="00F0732B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Vertical First </w:t>
            </w:r>
            <w:r w:rsidR="00F772E0" w:rsidRPr="00E122BF">
              <w:rPr>
                <w:rFonts w:asciiTheme="majorBidi" w:hAnsiTheme="majorBidi" w:cstheme="majorBidi"/>
                <w:sz w:val="20"/>
                <w:szCs w:val="20"/>
              </w:rPr>
              <w:t>null beam width (H-FNBW)</w:t>
            </w:r>
            <w:r w:rsidR="00DB4DF1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122BF">
              <w:rPr>
                <w:rFonts w:asciiTheme="majorBidi" w:hAnsiTheme="majorBidi" w:cstheme="majorBidi"/>
                <w:sz w:val="20"/>
                <w:szCs w:val="20"/>
              </w:rPr>
              <w:t>nulls</w:t>
            </w:r>
          </w:p>
        </w:tc>
        <w:tc>
          <w:tcPr>
            <w:tcW w:w="4392" w:type="dxa"/>
          </w:tcPr>
          <w:p w14:paraId="3DA8E4E6" w14:textId="62B2C9E3" w:rsidR="00F772E0" w:rsidRPr="00E122BF" w:rsidRDefault="00F772E0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Difference between </w:t>
            </w:r>
            <w:r w:rsidR="0079440E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theta angles of the </w:t>
            </w: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first nulls </w:t>
            </w:r>
          </w:p>
        </w:tc>
      </w:tr>
      <w:tr w:rsidR="00F0732B" w:rsidRPr="00E122BF" w14:paraId="3AFBE41B" w14:textId="26F03C67" w:rsidTr="0058001B">
        <w:tc>
          <w:tcPr>
            <w:tcW w:w="4255" w:type="dxa"/>
          </w:tcPr>
          <w:p w14:paraId="5F00BA42" w14:textId="2AE6F3CD" w:rsidR="00F0732B" w:rsidRPr="00E122BF" w:rsidRDefault="00F0732B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>Side lobe level of closest side lobes</w:t>
            </w:r>
          </w:p>
        </w:tc>
        <w:tc>
          <w:tcPr>
            <w:tcW w:w="4392" w:type="dxa"/>
          </w:tcPr>
          <w:p w14:paraId="39F65A88" w14:textId="6CCD1EF7" w:rsidR="002E4119" w:rsidRPr="00E122BF" w:rsidRDefault="002E4119" w:rsidP="00E122BF">
            <w:pPr>
              <w:spacing w:after="160" w:line="259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At first sidelobes (4 lobes) the level relative to the </w:t>
            </w:r>
            <w:r w:rsidR="00BF1BD3" w:rsidRPr="00E122BF">
              <w:rPr>
                <w:rFonts w:asciiTheme="majorBidi" w:hAnsiTheme="majorBidi" w:cstheme="majorBidi"/>
                <w:sz w:val="20"/>
                <w:szCs w:val="20"/>
              </w:rPr>
              <w:t>main</w:t>
            </w:r>
            <w:r w:rsidR="0024392B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F1BD3" w:rsidRPr="00E122BF">
              <w:rPr>
                <w:rFonts w:asciiTheme="majorBidi" w:hAnsiTheme="majorBidi" w:cstheme="majorBidi"/>
                <w:sz w:val="20"/>
                <w:szCs w:val="20"/>
              </w:rPr>
              <w:t>beam peak</w:t>
            </w:r>
          </w:p>
        </w:tc>
      </w:tr>
      <w:tr w:rsidR="00F0732B" w:rsidRPr="00E122BF" w14:paraId="33FC9B68" w14:textId="01ADF171" w:rsidTr="0058001B">
        <w:tc>
          <w:tcPr>
            <w:tcW w:w="4255" w:type="dxa"/>
          </w:tcPr>
          <w:p w14:paraId="196B96CC" w14:textId="6A7982B9" w:rsidR="00F0732B" w:rsidRPr="00E122BF" w:rsidRDefault="00F0732B" w:rsidP="003D1F2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Scan loss at predefined directions corresponding to moderate predefined beam steering directions</w:t>
            </w:r>
          </w:p>
        </w:tc>
        <w:tc>
          <w:tcPr>
            <w:tcW w:w="4392" w:type="dxa"/>
          </w:tcPr>
          <w:p w14:paraId="4F84C815" w14:textId="0FA6EBB7" w:rsidR="00570A66" w:rsidRPr="00E122BF" w:rsidRDefault="00570A66" w:rsidP="00F772E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Peak value ratio: steered </w:t>
            </w:r>
            <w:r w:rsidR="00896D2D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vs </w:t>
            </w:r>
            <w:r w:rsidR="000B74E9" w:rsidRPr="00E122BF">
              <w:rPr>
                <w:rFonts w:asciiTheme="majorBidi" w:hAnsiTheme="majorBidi" w:cstheme="majorBidi"/>
                <w:sz w:val="20"/>
                <w:szCs w:val="20"/>
              </w:rPr>
              <w:t xml:space="preserve">not </w:t>
            </w:r>
            <w:r w:rsidR="00896D2D" w:rsidRPr="00E122BF">
              <w:rPr>
                <w:rFonts w:asciiTheme="majorBidi" w:hAnsiTheme="majorBidi" w:cstheme="majorBidi"/>
                <w:sz w:val="20"/>
                <w:szCs w:val="20"/>
              </w:rPr>
              <w:t>steered beam</w:t>
            </w:r>
          </w:p>
        </w:tc>
      </w:tr>
    </w:tbl>
    <w:p w14:paraId="6C60BA60" w14:textId="77777777" w:rsidR="003D1F20" w:rsidRPr="00E122BF" w:rsidRDefault="003D1F20" w:rsidP="003D1F20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31438FAE" w14:textId="0404F16D" w:rsidR="00613A5D" w:rsidRPr="00E122BF" w:rsidRDefault="00A4015C" w:rsidP="003073D6">
      <w:pPr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t xml:space="preserve">Note: modelling of </w:t>
      </w:r>
      <w:r w:rsidR="003D1F20" w:rsidRPr="00E122BF">
        <w:rPr>
          <w:rFonts w:asciiTheme="majorBidi" w:hAnsiTheme="majorBidi" w:cstheme="majorBidi"/>
          <w:sz w:val="20"/>
          <w:szCs w:val="20"/>
        </w:rPr>
        <w:t>extreme</w:t>
      </w:r>
      <w:r w:rsidR="00055DF3" w:rsidRPr="00E122BF">
        <w:rPr>
          <w:rFonts w:asciiTheme="majorBidi" w:hAnsiTheme="majorBidi" w:cstheme="majorBidi"/>
          <w:sz w:val="20"/>
          <w:szCs w:val="20"/>
        </w:rPr>
        <w:t xml:space="preserve"> scanning angles require</w:t>
      </w:r>
      <w:r w:rsidR="00615600" w:rsidRPr="00E122BF">
        <w:rPr>
          <w:rFonts w:asciiTheme="majorBidi" w:hAnsiTheme="majorBidi" w:cstheme="majorBidi"/>
          <w:sz w:val="20"/>
          <w:szCs w:val="20"/>
        </w:rPr>
        <w:t>s</w:t>
      </w:r>
      <w:r w:rsidR="00055DF3" w:rsidRPr="00E122BF">
        <w:rPr>
          <w:rFonts w:asciiTheme="majorBidi" w:hAnsiTheme="majorBidi" w:cstheme="majorBidi"/>
          <w:sz w:val="20"/>
          <w:szCs w:val="20"/>
        </w:rPr>
        <w:t xml:space="preserve"> accurate modelling of mutual</w:t>
      </w:r>
      <w:r w:rsidR="00DB4DF1" w:rsidRPr="00E122BF">
        <w:rPr>
          <w:rFonts w:asciiTheme="majorBidi" w:hAnsiTheme="majorBidi" w:cstheme="majorBidi"/>
          <w:sz w:val="20"/>
          <w:szCs w:val="20"/>
        </w:rPr>
        <w:t xml:space="preserve"> coupling</w:t>
      </w:r>
      <w:r w:rsidR="00055DF3" w:rsidRPr="00E122BF">
        <w:rPr>
          <w:rFonts w:asciiTheme="majorBidi" w:hAnsiTheme="majorBidi" w:cstheme="majorBidi"/>
          <w:sz w:val="20"/>
          <w:szCs w:val="20"/>
        </w:rPr>
        <w:t>.</w:t>
      </w:r>
      <w:r w:rsidR="00284DBF" w:rsidRPr="00E122BF">
        <w:rPr>
          <w:rFonts w:asciiTheme="majorBidi" w:hAnsiTheme="majorBidi" w:cstheme="majorBidi"/>
          <w:sz w:val="20"/>
          <w:szCs w:val="20"/>
        </w:rPr>
        <w:t xml:space="preserve"> Scan loss at lower </w:t>
      </w:r>
      <w:r w:rsidR="0059669C" w:rsidRPr="00E122BF">
        <w:rPr>
          <w:rFonts w:asciiTheme="majorBidi" w:hAnsiTheme="majorBidi" w:cstheme="majorBidi"/>
          <w:sz w:val="20"/>
          <w:szCs w:val="20"/>
        </w:rPr>
        <w:t xml:space="preserve">scanning angles reveals the gain drop </w:t>
      </w:r>
      <w:r w:rsidR="006F179E" w:rsidRPr="00E122BF">
        <w:rPr>
          <w:rFonts w:asciiTheme="majorBidi" w:hAnsiTheme="majorBidi" w:cstheme="majorBidi"/>
          <w:sz w:val="20"/>
          <w:szCs w:val="20"/>
        </w:rPr>
        <w:t>due to</w:t>
      </w:r>
      <w:r w:rsidR="0059669C" w:rsidRPr="00E122BF">
        <w:rPr>
          <w:rFonts w:asciiTheme="majorBidi" w:hAnsiTheme="majorBidi" w:cstheme="majorBidi"/>
          <w:sz w:val="20"/>
          <w:szCs w:val="20"/>
        </w:rPr>
        <w:t xml:space="preserve"> the element pattern.</w:t>
      </w:r>
    </w:p>
    <w:p w14:paraId="6E67A07F" w14:textId="188521F9" w:rsidR="00572CF4" w:rsidRDefault="00572CF4" w:rsidP="00572CF4">
      <w:pPr>
        <w:jc w:val="center"/>
      </w:pPr>
      <w:r w:rsidRPr="00572CF4">
        <w:rPr>
          <w:noProof/>
        </w:rPr>
        <w:drawing>
          <wp:inline distT="0" distB="0" distL="0" distR="0" wp14:anchorId="5FDDD6A6" wp14:editId="17C1E2D5">
            <wp:extent cx="4152900" cy="297074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5443" cy="302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50E6B" w14:textId="4DD8BEA1" w:rsidR="00572CF4" w:rsidRDefault="00572CF4" w:rsidP="00572CF4">
      <w:pPr>
        <w:pStyle w:val="Caption"/>
      </w:pPr>
      <w:r>
        <w:t xml:space="preserve">Figure </w:t>
      </w:r>
      <w:r w:rsidR="00615600">
        <w:rPr>
          <w:noProof/>
        </w:rPr>
        <w:fldChar w:fldCharType="begin"/>
      </w:r>
      <w:r w:rsidR="00615600">
        <w:rPr>
          <w:noProof/>
        </w:rPr>
        <w:instrText xml:space="preserve"> SEQ Figure \* ARABIC </w:instrText>
      </w:r>
      <w:r w:rsidR="00615600">
        <w:rPr>
          <w:noProof/>
        </w:rPr>
        <w:fldChar w:fldCharType="separate"/>
      </w:r>
      <w:r>
        <w:rPr>
          <w:noProof/>
        </w:rPr>
        <w:t>1</w:t>
      </w:r>
      <w:r w:rsidR="00615600">
        <w:rPr>
          <w:noProof/>
        </w:rPr>
        <w:fldChar w:fldCharType="end"/>
      </w:r>
      <w:r>
        <w:t xml:space="preserve"> Half power beam width (black dashed lines), first nulls (red dashed lines), first sidelobe (purple dashed lines) could be used as control points of the simulation model.</w:t>
      </w:r>
    </w:p>
    <w:p w14:paraId="5FB2B2F2" w14:textId="77777777" w:rsidR="00572CF4" w:rsidRDefault="00572CF4" w:rsidP="00572CF4">
      <w:pPr>
        <w:pStyle w:val="Caption"/>
        <w:jc w:val="center"/>
      </w:pPr>
      <w:r w:rsidRPr="00572CF4">
        <w:rPr>
          <w:noProof/>
        </w:rPr>
        <w:drawing>
          <wp:inline distT="0" distB="0" distL="0" distR="0" wp14:anchorId="1C89A63E" wp14:editId="76C09316">
            <wp:extent cx="4191000" cy="299799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9466" cy="303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D073F" w14:textId="02F38E80" w:rsidR="00171BEC" w:rsidRDefault="00572CF4" w:rsidP="00572CF4">
      <w:pPr>
        <w:pStyle w:val="Caption"/>
      </w:pPr>
      <w:r>
        <w:t xml:space="preserve">Figure </w:t>
      </w:r>
      <w:r w:rsidR="00615600">
        <w:rPr>
          <w:noProof/>
        </w:rPr>
        <w:fldChar w:fldCharType="begin"/>
      </w:r>
      <w:r w:rsidR="00615600">
        <w:rPr>
          <w:noProof/>
        </w:rPr>
        <w:instrText xml:space="preserve"> SEQ Figure \* ARABIC </w:instrText>
      </w:r>
      <w:r w:rsidR="00615600">
        <w:rPr>
          <w:noProof/>
        </w:rPr>
        <w:fldChar w:fldCharType="separate"/>
      </w:r>
      <w:r>
        <w:rPr>
          <w:noProof/>
        </w:rPr>
        <w:t>2</w:t>
      </w:r>
      <w:r w:rsidR="00615600">
        <w:rPr>
          <w:noProof/>
        </w:rPr>
        <w:fldChar w:fldCharType="end"/>
      </w:r>
      <w:r>
        <w:t xml:space="preserve"> Scan loss (indicated by purple dashed lines) could be used as control points. The green and orange patterns depict scanned beams to -/+ 30 degrees, respectively. </w:t>
      </w:r>
    </w:p>
    <w:p w14:paraId="54AE6BB0" w14:textId="0E96B709" w:rsidR="00572CF4" w:rsidRPr="00E122BF" w:rsidRDefault="00572CF4" w:rsidP="00572CF4">
      <w:pPr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lastRenderedPageBreak/>
        <w:t xml:space="preserve">Remark: By using numerical optimization </w:t>
      </w:r>
      <w:r w:rsidR="00625380" w:rsidRPr="00E122BF">
        <w:rPr>
          <w:rFonts w:asciiTheme="majorBidi" w:hAnsiTheme="majorBidi" w:cstheme="majorBidi"/>
          <w:sz w:val="20"/>
          <w:szCs w:val="20"/>
        </w:rPr>
        <w:t xml:space="preserve">(convex optimization) the antenna weights can be adjusted to any values at N control points, where N is the number of antenna elements. To avoid </w:t>
      </w:r>
      <w:proofErr w:type="gramStart"/>
      <w:r w:rsidR="00625380" w:rsidRPr="00E122BF">
        <w:rPr>
          <w:rFonts w:asciiTheme="majorBidi" w:hAnsiTheme="majorBidi" w:cstheme="majorBidi"/>
          <w:sz w:val="20"/>
          <w:szCs w:val="20"/>
        </w:rPr>
        <w:t>a large number of</w:t>
      </w:r>
      <w:proofErr w:type="gramEnd"/>
      <w:r w:rsidR="00625380" w:rsidRPr="00E122BF">
        <w:rPr>
          <w:rFonts w:asciiTheme="majorBidi" w:hAnsiTheme="majorBidi" w:cstheme="majorBidi"/>
          <w:sz w:val="20"/>
          <w:szCs w:val="20"/>
        </w:rPr>
        <w:t xml:space="preserve"> control points, there must be additional information provided by the model.</w:t>
      </w:r>
    </w:p>
    <w:p w14:paraId="6178D176" w14:textId="7670C387" w:rsidR="00E122BF" w:rsidRDefault="00E122BF" w:rsidP="00E122BF">
      <w:pPr>
        <w:keepNext/>
        <w:numPr>
          <w:ilvl w:val="0"/>
          <w:numId w:val="1"/>
        </w:numPr>
        <w:spacing w:after="240" w:line="240" w:lineRule="auto"/>
        <w:ind w:right="284" w:hanging="720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Conclusion</w:t>
      </w:r>
    </w:p>
    <w:p w14:paraId="58814D19" w14:textId="759C35F4" w:rsidR="00625380" w:rsidRDefault="00625380">
      <w:pPr>
        <w:rPr>
          <w:rFonts w:asciiTheme="majorBidi" w:hAnsiTheme="majorBidi" w:cstheme="majorBidi"/>
          <w:sz w:val="20"/>
          <w:szCs w:val="20"/>
        </w:rPr>
      </w:pPr>
      <w:r w:rsidRPr="00E122BF">
        <w:rPr>
          <w:rFonts w:asciiTheme="majorBidi" w:hAnsiTheme="majorBidi" w:cstheme="majorBidi"/>
          <w:sz w:val="20"/>
          <w:szCs w:val="20"/>
        </w:rPr>
        <w:t>The usage of the formula TRP = EIRP/D where EIRP is measured and D is calculated, needs to be complemented by MU-analysis.</w:t>
      </w:r>
      <w:r w:rsidR="0058001B">
        <w:rPr>
          <w:rFonts w:asciiTheme="majorBidi" w:hAnsiTheme="majorBidi" w:cstheme="majorBidi"/>
          <w:sz w:val="20"/>
          <w:szCs w:val="20"/>
        </w:rPr>
        <w:t xml:space="preserve"> </w:t>
      </w:r>
      <w:r w:rsidRPr="00E122BF">
        <w:rPr>
          <w:rFonts w:asciiTheme="majorBidi" w:hAnsiTheme="majorBidi" w:cstheme="majorBidi"/>
          <w:sz w:val="20"/>
          <w:szCs w:val="20"/>
        </w:rPr>
        <w:t xml:space="preserve">A low number of control points alone, is not enough to guarantee a reasonable agreement between measurement and model. </w:t>
      </w:r>
    </w:p>
    <w:p w14:paraId="04CEB693" w14:textId="57B54418" w:rsidR="0058001B" w:rsidRPr="00E122BF" w:rsidRDefault="0058001B">
      <w:pPr>
        <w:rPr>
          <w:rFonts w:asciiTheme="majorBidi" w:hAnsiTheme="majorBidi" w:cstheme="majorBidi"/>
          <w:sz w:val="20"/>
          <w:szCs w:val="20"/>
        </w:rPr>
      </w:pPr>
      <w:r w:rsidRPr="0058001B">
        <w:rPr>
          <w:rFonts w:asciiTheme="majorBidi" w:hAnsiTheme="majorBidi" w:cstheme="majorBidi"/>
          <w:b/>
          <w:sz w:val="20"/>
          <w:szCs w:val="20"/>
        </w:rPr>
        <w:t>Proposal</w:t>
      </w:r>
      <w:r>
        <w:rPr>
          <w:rFonts w:asciiTheme="majorBidi" w:hAnsiTheme="majorBidi" w:cstheme="majorBidi"/>
          <w:sz w:val="20"/>
          <w:szCs w:val="20"/>
        </w:rPr>
        <w:t xml:space="preserve">: Information about the conditions necessary for correct usage of the formula </w:t>
      </w:r>
      <w:r w:rsidRPr="00E122BF">
        <w:rPr>
          <w:rFonts w:asciiTheme="majorBidi" w:hAnsiTheme="majorBidi" w:cstheme="majorBidi"/>
          <w:sz w:val="20"/>
          <w:szCs w:val="20"/>
        </w:rPr>
        <w:t>TRP = EIRP/D</w:t>
      </w:r>
      <w:r>
        <w:rPr>
          <w:rFonts w:asciiTheme="majorBidi" w:hAnsiTheme="majorBidi" w:cstheme="majorBidi"/>
          <w:sz w:val="20"/>
          <w:szCs w:val="20"/>
        </w:rPr>
        <w:t>,</w:t>
      </w:r>
      <w:r w:rsidRPr="00E122BF">
        <w:rPr>
          <w:rFonts w:asciiTheme="majorBidi" w:hAnsiTheme="majorBidi" w:cstheme="majorBidi"/>
          <w:sz w:val="20"/>
          <w:szCs w:val="20"/>
        </w:rPr>
        <w:t xml:space="preserve"> where EIRP is measured and D is calculated</w:t>
      </w:r>
      <w:r>
        <w:rPr>
          <w:rFonts w:asciiTheme="majorBidi" w:hAnsiTheme="majorBidi" w:cstheme="majorBidi"/>
          <w:sz w:val="20"/>
          <w:szCs w:val="20"/>
        </w:rPr>
        <w:t>, shall be introduced in the TR and TS.</w:t>
      </w:r>
    </w:p>
    <w:sectPr w:rsidR="0058001B" w:rsidRPr="00E122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hybridMultilevel"/>
    <w:tmpl w:val="C0E22A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B4"/>
    <w:rsid w:val="00006BD1"/>
    <w:rsid w:val="00055DF3"/>
    <w:rsid w:val="000A3E61"/>
    <w:rsid w:val="000B110E"/>
    <w:rsid w:val="000B74E9"/>
    <w:rsid w:val="000C1EFF"/>
    <w:rsid w:val="000D6F67"/>
    <w:rsid w:val="000F2BE0"/>
    <w:rsid w:val="00107D0B"/>
    <w:rsid w:val="00115DE5"/>
    <w:rsid w:val="00171BEC"/>
    <w:rsid w:val="00183BCE"/>
    <w:rsid w:val="001B7C4D"/>
    <w:rsid w:val="00201C09"/>
    <w:rsid w:val="00234FCB"/>
    <w:rsid w:val="0024392B"/>
    <w:rsid w:val="00252F36"/>
    <w:rsid w:val="00274792"/>
    <w:rsid w:val="00284DBF"/>
    <w:rsid w:val="002E405B"/>
    <w:rsid w:val="002E4119"/>
    <w:rsid w:val="003073D6"/>
    <w:rsid w:val="00315135"/>
    <w:rsid w:val="00335FA2"/>
    <w:rsid w:val="00355C33"/>
    <w:rsid w:val="00392D38"/>
    <w:rsid w:val="003D1F20"/>
    <w:rsid w:val="003F2881"/>
    <w:rsid w:val="00421069"/>
    <w:rsid w:val="004523A2"/>
    <w:rsid w:val="004C4F58"/>
    <w:rsid w:val="004F49D7"/>
    <w:rsid w:val="00566FB4"/>
    <w:rsid w:val="00570A66"/>
    <w:rsid w:val="00572CF4"/>
    <w:rsid w:val="0058001B"/>
    <w:rsid w:val="0059669C"/>
    <w:rsid w:val="005B0866"/>
    <w:rsid w:val="00613A5D"/>
    <w:rsid w:val="00615600"/>
    <w:rsid w:val="00625380"/>
    <w:rsid w:val="006443F5"/>
    <w:rsid w:val="00646581"/>
    <w:rsid w:val="006526EE"/>
    <w:rsid w:val="00697D4F"/>
    <w:rsid w:val="006F179E"/>
    <w:rsid w:val="00713BAE"/>
    <w:rsid w:val="007302B9"/>
    <w:rsid w:val="00735F47"/>
    <w:rsid w:val="0074646C"/>
    <w:rsid w:val="00761798"/>
    <w:rsid w:val="00763498"/>
    <w:rsid w:val="00776A49"/>
    <w:rsid w:val="0079440E"/>
    <w:rsid w:val="00796140"/>
    <w:rsid w:val="007E291A"/>
    <w:rsid w:val="008411E7"/>
    <w:rsid w:val="00843067"/>
    <w:rsid w:val="00865DDF"/>
    <w:rsid w:val="00896D2D"/>
    <w:rsid w:val="008D7A79"/>
    <w:rsid w:val="00940259"/>
    <w:rsid w:val="009635E8"/>
    <w:rsid w:val="00991F9C"/>
    <w:rsid w:val="00A01474"/>
    <w:rsid w:val="00A23216"/>
    <w:rsid w:val="00A4015C"/>
    <w:rsid w:val="00B2669C"/>
    <w:rsid w:val="00B83A2C"/>
    <w:rsid w:val="00BF1BD3"/>
    <w:rsid w:val="00C478BC"/>
    <w:rsid w:val="00CE1142"/>
    <w:rsid w:val="00D15AB2"/>
    <w:rsid w:val="00D73D34"/>
    <w:rsid w:val="00DB4DF1"/>
    <w:rsid w:val="00DB78D1"/>
    <w:rsid w:val="00E122BF"/>
    <w:rsid w:val="00E20F8B"/>
    <w:rsid w:val="00E935ED"/>
    <w:rsid w:val="00E96487"/>
    <w:rsid w:val="00F0732B"/>
    <w:rsid w:val="00F772E0"/>
    <w:rsid w:val="00F864F1"/>
    <w:rsid w:val="00FC0B80"/>
    <w:rsid w:val="00FC2075"/>
    <w:rsid w:val="00FE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8F8E"/>
  <w15:chartTrackingRefBased/>
  <w15:docId w15:val="{CAE490C8-F357-4A30-BAD9-52E3250D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11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00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00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11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1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D1F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F20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F0732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800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001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5NUHHDQN7SK2-1476151046-29603</_dlc_DocId>
    <_dlc_DocIdUrl xmlns="f166a696-7b5b-4ccd-9f0c-ffde0cceec81">
      <Url>https://ericsson.sharepoint.com/sites/star/_layouts/15/DocIdRedir.aspx?ID=5NUHHDQN7SK2-1476151046-29603</Url>
      <Description>5NUHHDQN7SK2-1476151046-29603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BA21C-3519-4652-9756-3DDCB52EE6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F91C6C-CADD-47B5-A0B5-084D06E830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673E26-9B89-4595-9094-A68325C0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4CCB85-3621-46DF-8939-245E1CFB33A7}">
  <ds:schemaRefs>
    <ds:schemaRef ds:uri="http://schemas.microsoft.com/office/2006/documentManagement/types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purl.org/dc/terms/"/>
    <ds:schemaRef ds:uri="http://schemas.openxmlformats.org/package/2006/metadata/core-properties"/>
    <ds:schemaRef ds:uri="d8762117-8292-4133-b1c7-eab5c6487cfd"/>
    <ds:schemaRef ds:uri="f166a696-7b5b-4ccd-9f0c-ffde0cceec8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71A4D29-9D48-4639-A66A-D024872A0C6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1E7710-4A2A-40EB-A588-6A80AE8A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2973</Characters>
  <Application>Microsoft Office Word</Application>
  <DocSecurity>4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2</cp:revision>
  <dcterms:created xsi:type="dcterms:W3CDTF">2018-09-28T19:40:00Z</dcterms:created>
  <dcterms:modified xsi:type="dcterms:W3CDTF">2018-09-28T19:40:00Z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78b4f7ee-5fd7-4931-a4db-cb68b821596f</vt:lpwstr>
  </property>
</Properties>
</file>